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October 31,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 using</w:t>
      </w:r>
      <w:r>
        <w:t xml:space="preserve"> </w:t>
      </w:r>
      <w:r>
        <w:t xml:space="preserve">multi-level models to account for the inherent nesting structure of the data,</w:t>
      </w:r>
      <w:r>
        <w:t xml:space="preserve"> </w:t>
      </w:r>
      <w:r>
        <w:t xml:space="preserve">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 The asymptotic 95% confidence intervals are based on the normal approximation.</w:t>
            </w:r>
          </w:p>
          <w:tbl>
            <w:tblPr>
              <w:tblStyle w:val="Table"/>
              <w:tblW w:type="pct" w:w="4167"/>
              <w:tblLayout w:type="fixed"/>
              <w:tblLook w:firstRow="1" w:lastRow="0" w:firstColumn="0" w:lastColumn="0" w:noHBand="0" w:noVBand="0" w:val="0020"/>
            </w:tblPr>
            <w:tblGrid>
              <w:gridCol w:w="880"/>
              <w:gridCol w:w="110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1</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overall</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overall</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overall</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overall</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4306"/>
              <w:tblLayout w:type="fixed"/>
              <w:tblLook w:firstRow="1" w:lastRow="0" w:firstColumn="0" w:lastColumn="0" w:noHBand="0" w:noVBand="0" w:val="0020"/>
            </w:tblPr>
            <w:tblGrid>
              <w:gridCol w:w="880"/>
              <w:gridCol w:w="132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Inf</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Inf</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Inf</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Inf</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542"/>
              <w:tblLayout w:type="fixed"/>
              <w:tblLook w:firstRow="1" w:lastRow="0" w:firstColumn="0" w:lastColumn="0" w:noHBand="0" w:noVBand="0" w:val="0020"/>
            </w:tblPr>
            <w:tblGrid>
              <w:gridCol w:w="880"/>
              <w:gridCol w:w="1210"/>
              <w:gridCol w:w="99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Inf</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Inf</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Inf</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Inf</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Inf</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Inf</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rw-to">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2"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2"/>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2"/>
              </w:numPr>
            </w:pPr>
            <w:r>
              <w:t xml:space="preserve">Cost of treatments</w:t>
            </w:r>
          </w:p>
          <w:p>
            <w:pPr>
              <w:pStyle w:val="Compact"/>
              <w:numPr>
                <w:ilvl w:val="0"/>
                <w:numId w:val="1002"/>
              </w:numPr>
            </w:pPr>
            <w:r>
              <w:t xml:space="preserve">1-hr redwood fuels differed from other studies in that we implemented a cutoff</w:t>
            </w:r>
          </w:p>
          <w:p>
            <w:pPr>
              <w:pStyle w:val="Compact"/>
              <w:numPr>
                <w:ilvl w:val="0"/>
                <w:numId w:val="1002"/>
              </w:numPr>
            </w:pPr>
            <w:r>
              <w:t xml:space="preserve">Discuss the decision to allow surface fuels to extend to greater than 2 meters</w:t>
            </w:r>
          </w:p>
          <w:p>
            <w:pPr>
              <w:pStyle w:val="Compact"/>
              <w:numPr>
                <w:ilvl w:val="0"/>
                <w:numId w:val="1002"/>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2"/>
              </w:numPr>
            </w:pPr>
            <w:r>
              <w:t xml:space="preserve">Discuss the decision to combine live and dead vegetation fuels</w:t>
            </w:r>
          </w:p>
          <w:p>
            <w:pPr>
              <w:pStyle w:val="Compact"/>
              <w:numPr>
                <w:ilvl w:val="0"/>
                <w:numId w:val="1002"/>
              </w:numPr>
            </w:pPr>
            <w:r>
              <w:t xml:space="preserve">Discuss the decision to combine herbaceous and woody vegetation fuels</w:t>
            </w:r>
          </w:p>
          <w:p>
            <w:pPr>
              <w:pStyle w:val="Compact"/>
              <w:numPr>
                <w:ilvl w:val="0"/>
                <w:numId w:val="1002"/>
              </w:numPr>
            </w:pPr>
            <w:r>
              <w:t xml:space="preserve">Discuss the decision to combine duff and litter</w:t>
            </w:r>
          </w:p>
          <w:p>
            <w:pPr>
              <w:pStyle w:val="Compact"/>
              <w:numPr>
                <w:ilvl w:val="0"/>
                <w:numId w:val="1002"/>
              </w:numPr>
            </w:pPr>
            <w:r>
              <w:t xml:space="preserve">Discuss the decision to use basal area for redwood and tanoak and counts for</w:t>
            </w:r>
            <w:r>
              <w:t xml:space="preserve"> </w:t>
            </w:r>
            <w:r>
              <w:t xml:space="preserve">Douglas-fir</w:t>
            </w:r>
          </w:p>
          <w:p>
            <w:pPr>
              <w:pStyle w:val="Compact"/>
              <w:numPr>
                <w:ilvl w:val="0"/>
                <w:numId w:val="1002"/>
              </w:numPr>
            </w:pPr>
            <w:r>
              <w:t xml:space="preserve">Discuss the similarity between vegetation fuel difference post-PCT and</w:t>
            </w:r>
            <w:r>
              <w:t xml:space="preserve"> </w:t>
            </w:r>
            <w:r>
              <w:t xml:space="preserve">vegetation fuel loading pre-PCT</w:t>
            </w:r>
          </w:p>
          <w:p>
            <w:pPr>
              <w:pStyle w:val="Compact"/>
              <w:numPr>
                <w:ilvl w:val="0"/>
                <w:numId w:val="1002"/>
              </w:numPr>
            </w:pPr>
            <w:r>
              <w:t xml:space="preserve">Discuss the significance of 1-hr fuel loading pre-PCT vs post-PCT</w:t>
            </w:r>
          </w:p>
          <w:p>
            <w:pPr>
              <w:pStyle w:val="Compact"/>
              <w:numPr>
                <w:ilvl w:val="0"/>
                <w:numId w:val="1002"/>
              </w:numPr>
            </w:pPr>
            <w:r>
              <w:t xml:space="preserve">Discuss the significance of 10-hr fuel loading pre-PCT vs post-PCT</w:t>
            </w:r>
          </w:p>
          <w:p>
            <w:pPr>
              <w:pStyle w:val="Compact"/>
              <w:numPr>
                <w:ilvl w:val="0"/>
                <w:numId w:val="1002"/>
              </w:numPr>
            </w:pPr>
            <w:r>
              <w:t xml:space="preserve">Discuss the significance of 100-hr fuel loading pre-PCT vs post-PCT</w:t>
            </w:r>
          </w:p>
          <w:p>
            <w:pPr>
              <w:pStyle w:val="Compact"/>
              <w:numPr>
                <w:ilvl w:val="0"/>
                <w:numId w:val="1002"/>
              </w:numPr>
            </w:pPr>
            <w:r>
              <w:t xml:space="preserve">Discuss the similarity between redwood or tanoak basal area and vegetation fuel loading</w:t>
            </w:r>
          </w:p>
          <w:p>
            <w:pPr>
              <w:pStyle w:val="Compact"/>
              <w:numPr>
                <w:ilvl w:val="0"/>
                <w:numId w:val="1002"/>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 suggesting that the HA treatment minimized tanoak sprout growth.</w:t>
      </w:r>
    </w:p>
    <w:p>
      <w:pPr>
        <w:pStyle w:val="BodyText"/>
      </w:pPr>
      <w:r>
        <w:t xml:space="preserve">Shade tolerance theory predicts that at a certain overstory density, tanoak</w:t>
      </w:r>
      <w:r>
        <w:t xml:space="preserve"> </w:t>
      </w:r>
      <w:r>
        <w:t xml:space="preserve">abundance should exceed that of redwood. This crossover point appears to have</w:t>
      </w:r>
      <w:r>
        <w:t xml:space="preserve"> </w:t>
      </w:r>
      <w:r>
        <w:t xml:space="preserve">been approached in the HA and HD treatments where basal area for these two</w:t>
      </w:r>
      <w:r>
        <w:t xml:space="preserve"> </w:t>
      </w:r>
      <w:r>
        <w:t xml:space="preserve">species were very similar.</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 It seems likely that at higher</w:t>
      </w:r>
      <w:r>
        <w:t xml:space="preserve"> </w:t>
      </w:r>
      <w:r>
        <w:t xml:space="preserve">overstory densities we might see tanoak abundance, in terms of total basal area,</w:t>
      </w:r>
      <w:r>
        <w:t xml:space="preserve"> </w:t>
      </w:r>
      <w:r>
        <w:t xml:space="preserve">exceed that of redwood in the understory.</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don’t</w:t>
      </w:r>
      <w:r>
        <w:t xml:space="preserve"> </w:t>
      </w:r>
      <w:r>
        <w:t xml:space="preserve">undergo a long harsh winter</w:t>
      </w:r>
      <w:r>
        <w:t xml:space="preserve"> </w:t>
      </w:r>
      <w:r>
        <w:t xml:space="preserve">(Lin et al., 2002)</w:t>
      </w:r>
      <w:r>
        <w:t xml:space="preserve">.</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redwoods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or resprouting root system</w:t>
      </w:r>
      <w:r>
        <w:t xml:space="preserve"> </w:t>
      </w:r>
      <w:r>
        <w:t xml:space="preserve">(Berrill et al., 2018)</w:t>
      </w:r>
      <w:r>
        <w:t xml:space="preserve">.</w:t>
      </w:r>
    </w:p>
    <w:bookmarkEnd w:id="122"/>
    <w:bookmarkStart w:id="123"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(R. T. 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6"/>
    <w:bookmarkStart w:id="131" w:name="fuel-loading"/>
    <w:p>
      <w:pPr>
        <w:pStyle w:val="Heading2"/>
      </w:pPr>
      <w:r>
        <w:t xml:space="preserve">4.3 Fuel loading</w:t>
      </w:r>
    </w:p>
    <w:bookmarkStart w:id="129" w:name="pre-pct-1"/>
    <w:p>
      <w:pPr>
        <w:pStyle w:val="Heading3"/>
      </w:pPr>
      <w:r>
        <w:t xml:space="preserve">4.3.1 Pre-PCT</w:t>
      </w:r>
    </w:p>
    <w:p>
      <w:pPr>
        <w:pStyle w:val="FirstParagraph"/>
      </w:pPr>
      <w:r>
        <w:t xml:space="preserve">Prior to PCT scheduled Fuel loading were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walki\AppData\Local\Programs\Quarto\share\formats\docx\caution.png" id="1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9"/>
    <w:bookmarkStart w:id="130"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TODO: I’m here</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30"/>
    <w:bookmarkEnd w:id="131"/>
    <w:bookmarkEnd w:id="132"/>
    <w:bookmarkStart w:id="133" w:name="limitations-and-future-work"/>
    <w:p>
      <w:pPr>
        <w:pStyle w:val="Heading1"/>
      </w:pPr>
      <w:r>
        <w:t xml:space="preserve">5. Limitations and future work</w:t>
      </w:r>
    </w:p>
    <w:p>
      <w:pPr>
        <w:pStyle w:val="FirstParagraph"/>
      </w:pPr>
      <w:r>
        <w:t xml:space="preserve">Throughout this multi-faceted analysis there were several limitations that</w:t>
      </w:r>
      <w:r>
        <w:t xml:space="preserve"> </w:t>
      </w:r>
      <w:r>
        <w:t xml:space="preserve">arose.</w:t>
      </w:r>
    </w:p>
    <w:p>
      <w:pPr>
        <w:pStyle w:val="BodyText"/>
      </w:pPr>
      <w:r>
        <w:t xml:space="preserve">Basal area comparisons among treatments and with other species within a</w:t>
      </w:r>
      <w:r>
        <w:t xml:space="preserve"> </w:t>
      </w:r>
      <w:r>
        <w:t xml:space="preserve">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In the analysis of sprout basal area, aspect would be an important consideration</w:t>
      </w:r>
      <w:r>
        <w:t xml:space="preserve"> </w:t>
      </w:r>
      <w:r>
        <w:t xml:space="preserve">for sprouts growth response. Reducing our uncertainty around redwood basal area</w:t>
      </w:r>
      <w:r>
        <w:t xml:space="preserve"> </w:t>
      </w:r>
      <w:r>
        <w:t xml:space="preserve">may require better incorporating the effect of aspect into our model. Also</w:t>
      </w:r>
      <w:r>
        <w:t xml:space="preserve"> </w:t>
      </w:r>
      <w:r>
        <w:t xml:space="preserve">regarding aspect, it seems likely that the effect of site on sprout growth was</w:t>
      </w:r>
      <w:r>
        <w:t xml:space="preserve"> </w:t>
      </w:r>
      <w:r>
        <w:t xml:space="preserve">bi-modal (due to our combination of predominately north- and south-facing site</w:t>
      </w:r>
      <w:r>
        <w:t xml:space="preserve"> </w:t>
      </w:r>
      <w:r>
        <w:t xml:space="preserve">aspects) and thus the regularization imposed by our random effects for sites</w:t>
      </w:r>
      <w:r>
        <w:t xml:space="preserve"> </w:t>
      </w:r>
      <w:r>
        <w:t xml:space="preserve">(assumed to be normally distributed) was likely inappropriate.</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An interesting question that is</w:t>
      </w:r>
      <w:r>
        <w:t xml:space="preserve"> </w:t>
      </w:r>
      <w:r>
        <w:t xml:space="preserve">overlooked by our focus on the total basal area of sprout regeneration is if any</w:t>
      </w:r>
      <w:r>
        <w:t xml:space="preserve"> </w:t>
      </w:r>
      <w:r>
        <w:t xml:space="preserve">treatment produced larger individuals that would eventually be selected for</w:t>
      </w:r>
      <w:r>
        <w:t xml:space="preserve"> </w:t>
      </w:r>
      <w:r>
        <w:t xml:space="preserve">retention.</w:t>
      </w:r>
    </w:p>
    <w:bookmarkEnd w:id="133"/>
    <w:bookmarkStart w:id="134" w:name="conclusions"/>
    <w:p>
      <w:pPr>
        <w:pStyle w:val="Heading1"/>
      </w:pPr>
      <w:r>
        <w:t xml:space="preserve">6. Conclusions</w:t>
      </w:r>
    </w:p>
    <w:bookmarkEnd w:id="134"/>
    <w:bookmarkStart w:id="321" w:name="references-1"/>
    <w:p>
      <w:pPr>
        <w:pStyle w:val="Heading1"/>
      </w:pPr>
      <w:r>
        <w:t xml:space="preserve">7. References</w:t>
      </w:r>
    </w:p>
    <w:bookmarkStart w:id="320" w:name="refs"/>
    <w:bookmarkStart w:id="136"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5">
        <w:r>
          <w:rPr>
            <w:rStyle w:val="Hyperlink"/>
          </w:rPr>
          <w:t xml:space="preserve">https://doi.org/10.1016/j.foreco.2005.01.034</w:t>
        </w:r>
      </w:hyperlink>
    </w:p>
    <w:bookmarkEnd w:id="136"/>
    <w:bookmarkStart w:id="137"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7"/>
    <w:bookmarkStart w:id="138"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8"/>
    <w:bookmarkStart w:id="140"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9">
        <w:r>
          <w:rPr>
            <w:rStyle w:val="Hyperlink"/>
          </w:rPr>
          <w:t xml:space="preserve">https://doi.org/10.18637/jss.v111.i09</w:t>
        </w:r>
      </w:hyperlink>
    </w:p>
    <w:bookmarkEnd w:id="140"/>
    <w:bookmarkStart w:id="14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41">
        <w:r>
          <w:rPr>
            <w:rStyle w:val="Hyperlink"/>
          </w:rPr>
          <w:t xml:space="preserve">https://doi.org/10.1016/j.foreco.2008.11.028</w:t>
        </w:r>
      </w:hyperlink>
    </w:p>
    <w:bookmarkEnd w:id="142"/>
    <w:bookmarkStart w:id="143"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3"/>
    <w:bookmarkStart w:id="144"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4"/>
    <w:bookmarkStart w:id="14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5">
        <w:r>
          <w:rPr>
            <w:rStyle w:val="Hyperlink"/>
          </w:rPr>
          <w:t xml:space="preserve">https://doi.org/10.1186/s13717-019-0181-9</w:t>
        </w:r>
      </w:hyperlink>
    </w:p>
    <w:bookmarkEnd w:id="146"/>
    <w:bookmarkStart w:id="148"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7">
        <w:r>
          <w:rPr>
            <w:rStyle w:val="Hyperlink"/>
          </w:rPr>
          <w:t xml:space="preserve">https://doi.org/10.1139/X06-271</w:t>
        </w:r>
      </w:hyperlink>
    </w:p>
    <w:bookmarkEnd w:id="148"/>
    <w:bookmarkStart w:id="15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9">
        <w:r>
          <w:rPr>
            <w:rStyle w:val="Hyperlink"/>
          </w:rPr>
          <w:t xml:space="preserve">https://doi.org/10.1093/wjaf/24.1.24</w:t>
        </w:r>
      </w:hyperlink>
    </w:p>
    <w:bookmarkEnd w:id="150"/>
    <w:bookmarkStart w:id="15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51">
        <w:r>
          <w:rPr>
            <w:rStyle w:val="Hyperlink"/>
          </w:rPr>
          <w:t xml:space="preserve">https://www.fs.usda.gov/treesearch/pubs/55449</w:t>
        </w:r>
      </w:hyperlink>
    </w:p>
    <w:bookmarkEnd w:id="152"/>
    <w:bookmarkStart w:id="15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3">
        <w:r>
          <w:rPr>
            <w:rStyle w:val="Hyperlink"/>
          </w:rPr>
          <w:t xml:space="preserve">https://doi.org/10.1007/s11056-018-9636-6</w:t>
        </w:r>
      </w:hyperlink>
    </w:p>
    <w:bookmarkEnd w:id="154"/>
    <w:bookmarkStart w:id="156"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5">
        <w:r>
          <w:rPr>
            <w:rStyle w:val="Hyperlink"/>
          </w:rPr>
          <w:t xml:space="preserve">https://doi.org/10.1093/forsci/fxaa031</w:t>
        </w:r>
      </w:hyperlink>
    </w:p>
    <w:bookmarkEnd w:id="156"/>
    <w:bookmarkStart w:id="157"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7"/>
    <w:bookmarkStart w:id="158"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8"/>
    <w:bookmarkStart w:id="160"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9">
        <w:r>
          <w:rPr>
            <w:rStyle w:val="Hyperlink"/>
          </w:rPr>
          <w:t xml:space="preserve">https://doi.org/10.32614/RJ-2017-066</w:t>
        </w:r>
      </w:hyperlink>
    </w:p>
    <w:bookmarkEnd w:id="160"/>
    <w:bookmarkStart w:id="161"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61"/>
    <w:bookmarkStart w:id="163"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62">
        <w:r>
          <w:rPr>
            <w:rStyle w:val="Hyperlink"/>
          </w:rPr>
          <w:t xml:space="preserve">https://doi.org/10.1016/j.foreco.2022.120353</w:t>
        </w:r>
      </w:hyperlink>
    </w:p>
    <w:bookmarkEnd w:id="163"/>
    <w:bookmarkStart w:id="165"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4">
        <w:r>
          <w:rPr>
            <w:rStyle w:val="Hyperlink"/>
          </w:rPr>
          <w:t xml:space="preserve">https://doi.org/10.1016/j.foreco.2016.09.010</w:t>
        </w:r>
      </w:hyperlink>
    </w:p>
    <w:bookmarkEnd w:id="165"/>
    <w:bookmarkStart w:id="167"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6">
        <w:r>
          <w:rPr>
            <w:rStyle w:val="Hyperlink"/>
          </w:rPr>
          <w:t xml:space="preserve">https://doi.org/10.1111/rec.12681</w:t>
        </w:r>
      </w:hyperlink>
    </w:p>
    <w:bookmarkEnd w:id="167"/>
    <w:bookmarkStart w:id="169"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8">
        <w:r>
          <w:rPr>
            <w:rStyle w:val="Hyperlink"/>
          </w:rPr>
          <w:t xml:space="preserve">https://doi.org/10.1139/cjfr-2022-0214</w:t>
        </w:r>
      </w:hyperlink>
    </w:p>
    <w:bookmarkEnd w:id="169"/>
    <w:bookmarkStart w:id="171"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70">
        <w:r>
          <w:rPr>
            <w:rStyle w:val="Hyperlink"/>
          </w:rPr>
          <w:t xml:space="preserve">https://doi.org/10.1007/BF02858075</w:t>
        </w:r>
      </w:hyperlink>
    </w:p>
    <w:bookmarkEnd w:id="171"/>
    <w:bookmarkStart w:id="173"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72">
        <w:r>
          <w:rPr>
            <w:rStyle w:val="Hyperlink"/>
          </w:rPr>
          <w:t xml:space="preserve">https://doi.org/10.1139/x26-066</w:t>
        </w:r>
      </w:hyperlink>
    </w:p>
    <w:bookmarkEnd w:id="173"/>
    <w:bookmarkStart w:id="174"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4"/>
    <w:bookmarkStart w:id="176"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5">
        <w:r>
          <w:rPr>
            <w:rStyle w:val="Hyperlink"/>
          </w:rPr>
          <w:t xml:space="preserve">https://doi.org/10.1139/x93-143</w:t>
        </w:r>
      </w:hyperlink>
    </w:p>
    <w:bookmarkEnd w:id="176"/>
    <w:bookmarkStart w:id="177"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7"/>
    <w:bookmarkStart w:id="178"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8"/>
    <w:bookmarkStart w:id="180"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9">
        <w:r>
          <w:rPr>
            <w:rStyle w:val="Hyperlink"/>
          </w:rPr>
          <w:t xml:space="preserve">https://doi.org/10.1016/j.foreco.2014.06.025</w:t>
        </w:r>
      </w:hyperlink>
    </w:p>
    <w:bookmarkEnd w:id="180"/>
    <w:bookmarkStart w:id="182"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81">
        <w:r>
          <w:rPr>
            <w:rStyle w:val="Hyperlink"/>
          </w:rPr>
          <w:t xml:space="preserve">https://www.fs.usda.gov/database/feis/plants/tree/notden/all.html</w:t>
        </w:r>
      </w:hyperlink>
    </w:p>
    <w:bookmarkEnd w:id="182"/>
    <w:bookmarkStart w:id="184"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184"/>
    <w:bookmarkStart w:id="186"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5">
        <w:r>
          <w:rPr>
            <w:rStyle w:val="Hyperlink"/>
          </w:rPr>
          <w:t xml:space="preserve">https://doi.org/10.1023/A:1006502107495</w:t>
        </w:r>
      </w:hyperlink>
    </w:p>
    <w:bookmarkEnd w:id="186"/>
    <w:bookmarkStart w:id="188"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7">
        <w:r>
          <w:rPr>
            <w:rStyle w:val="Hyperlink"/>
          </w:rPr>
          <w:t xml:space="preserve">https://scholarworks.calstate.edu/concern/theses/ws859j014</w:t>
        </w:r>
      </w:hyperlink>
    </w:p>
    <w:bookmarkEnd w:id="188"/>
    <w:bookmarkStart w:id="190"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9">
        <w:r>
          <w:rPr>
            <w:rStyle w:val="Hyperlink"/>
          </w:rPr>
          <w:t xml:space="preserve">https://doi.org/10.1139/x06-206</w:t>
        </w:r>
      </w:hyperlink>
    </w:p>
    <w:bookmarkEnd w:id="190"/>
    <w:bookmarkStart w:id="191"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91"/>
    <w:bookmarkStart w:id="193"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92">
        <w:r>
          <w:rPr>
            <w:rStyle w:val="Hyperlink"/>
          </w:rPr>
          <w:t xml:space="preserve">https://www.elibrary.ru/item.asp?id=7397149</w:t>
        </w:r>
      </w:hyperlink>
    </w:p>
    <w:bookmarkEnd w:id="193"/>
    <w:bookmarkStart w:id="195"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4">
        <w:r>
          <w:rPr>
            <w:rStyle w:val="Hyperlink"/>
          </w:rPr>
          <w:t xml:space="preserve">https://www.tandfonline.com/doi/abs/10.1080/21580103.2020.1712264</w:t>
        </w:r>
      </w:hyperlink>
    </w:p>
    <w:bookmarkEnd w:id="195"/>
    <w:bookmarkStart w:id="197"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6">
        <w:r>
          <w:rPr>
            <w:rStyle w:val="Hyperlink"/>
          </w:rPr>
          <w:t xml:space="preserve">https://doi.org/10.1093/wjaf/7.4.103</w:t>
        </w:r>
      </w:hyperlink>
    </w:p>
    <w:bookmarkEnd w:id="197"/>
    <w:bookmarkStart w:id="199"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8">
        <w:r>
          <w:rPr>
            <w:rStyle w:val="Hyperlink"/>
          </w:rPr>
          <w:t xml:space="preserve">https://CRAN.R-project.org/package=DHARMa</w:t>
        </w:r>
      </w:hyperlink>
    </w:p>
    <w:bookmarkEnd w:id="199"/>
    <w:bookmarkStart w:id="201"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200">
        <w:r>
          <w:rPr>
            <w:rStyle w:val="Hyperlink"/>
          </w:rPr>
          <w:t xml:space="preserve">https://www.andrewheiss.com/blog/2022/11/29/conditional-marginal-marginaleffects/</w:t>
        </w:r>
      </w:hyperlink>
    </w:p>
    <w:bookmarkEnd w:id="201"/>
    <w:bookmarkStart w:id="203"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202">
        <w:r>
          <w:rPr>
            <w:rStyle w:val="Hyperlink"/>
          </w:rPr>
          <w:t xml:space="preserve">https://www.frontiersin.org/articles/10.3389/ffgc.2020.00078</w:t>
        </w:r>
      </w:hyperlink>
    </w:p>
    <w:bookmarkEnd w:id="203"/>
    <w:bookmarkStart w:id="205"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4">
        <w:r>
          <w:rPr>
            <w:rStyle w:val="Hyperlink"/>
          </w:rPr>
          <w:t xml:space="preserve">https://academic.oup.com/jof/article-abstract/83/8/494/4647048</w:t>
        </w:r>
      </w:hyperlink>
    </w:p>
    <w:bookmarkEnd w:id="205"/>
    <w:bookmarkStart w:id="207"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6">
        <w:r>
          <w:rPr>
            <w:rStyle w:val="Hyperlink"/>
          </w:rPr>
          <w:t xml:space="preserve">https://books.google.com?id=x3tw07l1IQQC</w:t>
        </w:r>
      </w:hyperlink>
    </w:p>
    <w:bookmarkEnd w:id="207"/>
    <w:bookmarkStart w:id="209"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8">
        <w:r>
          <w:rPr>
            <w:rStyle w:val="Hyperlink"/>
          </w:rPr>
          <w:t xml:space="preserve">https://doi.org/10.1016/j.agrformet.2021.108602</w:t>
        </w:r>
      </w:hyperlink>
    </w:p>
    <w:bookmarkEnd w:id="209"/>
    <w:bookmarkStart w:id="211"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10">
        <w:r>
          <w:rPr>
            <w:rStyle w:val="Hyperlink"/>
          </w:rPr>
          <w:t xml:space="preserve">https://doi.org/10.1139/X08-003</w:t>
        </w:r>
      </w:hyperlink>
    </w:p>
    <w:bookmarkEnd w:id="211"/>
    <w:bookmarkStart w:id="213"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12">
        <w:r>
          <w:rPr>
            <w:rStyle w:val="Hyperlink"/>
          </w:rPr>
          <w:t xml:space="preserve">https://doi.org/10.1071/wf01028</w:t>
        </w:r>
      </w:hyperlink>
    </w:p>
    <w:bookmarkEnd w:id="213"/>
    <w:bookmarkStart w:id="215"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4">
        <w:r>
          <w:rPr>
            <w:rStyle w:val="Hyperlink"/>
          </w:rPr>
          <w:t xml:space="preserve">https://doi.org/10.1007/s10980-012-9773-9</w:t>
        </w:r>
      </w:hyperlink>
    </w:p>
    <w:bookmarkEnd w:id="215"/>
    <w:bookmarkStart w:id="21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6"/>
    <w:bookmarkStart w:id="21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7">
        <w:r>
          <w:rPr>
            <w:rStyle w:val="Hyperlink"/>
          </w:rPr>
          <w:t xml:space="preserve">https://doi.org/10.1007/s11056-015-9470-z</w:t>
        </w:r>
      </w:hyperlink>
    </w:p>
    <w:bookmarkEnd w:id="218"/>
    <w:bookmarkStart w:id="22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9">
        <w:r>
          <w:rPr>
            <w:rStyle w:val="Hyperlink"/>
          </w:rPr>
          <w:t xml:space="preserve">https://doi.org/10.1016/j.foreco.2014.01.045</w:t>
        </w:r>
      </w:hyperlink>
    </w:p>
    <w:bookmarkEnd w:id="220"/>
    <w:bookmarkStart w:id="222"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21">
        <w:r>
          <w:rPr>
            <w:rStyle w:val="Hyperlink"/>
          </w:rPr>
          <w:t xml:space="preserve">https://doi.org/10.1093/jof/38.9.729</w:t>
        </w:r>
      </w:hyperlink>
    </w:p>
    <w:bookmarkEnd w:id="222"/>
    <w:bookmarkStart w:id="22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3">
        <w:r>
          <w:rPr>
            <w:rStyle w:val="Hyperlink"/>
          </w:rPr>
          <w:t xml:space="preserve">https://doi.org/10.5849/FS-2016-029R2</w:t>
        </w:r>
      </w:hyperlink>
    </w:p>
    <w:bookmarkEnd w:id="224"/>
    <w:bookmarkStart w:id="226"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5">
        <w:r>
          <w:rPr>
            <w:rStyle w:val="Hyperlink"/>
          </w:rPr>
          <w:t xml:space="preserve">https://doi.org/10.1016/j.foreco.2010.02.022</w:t>
        </w:r>
      </w:hyperlink>
    </w:p>
    <w:bookmarkEnd w:id="226"/>
    <w:bookmarkStart w:id="228"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7">
        <w:r>
          <w:rPr>
            <w:rStyle w:val="Hyperlink"/>
          </w:rPr>
          <w:t xml:space="preserve">https://CRAN.R-project.org/package=emmeans</w:t>
        </w:r>
      </w:hyperlink>
    </w:p>
    <w:bookmarkEnd w:id="228"/>
    <w:bookmarkStart w:id="23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9">
        <w:r>
          <w:rPr>
            <w:rStyle w:val="Hyperlink"/>
          </w:rPr>
          <w:t xml:space="preserve">https://doi.org/10.1007/s00442-002-0986-5</w:t>
        </w:r>
      </w:hyperlink>
    </w:p>
    <w:bookmarkEnd w:id="230"/>
    <w:bookmarkStart w:id="232"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https://www.google.com/books/edition/Sprout_Regeneration_of_Young_growth_Redw/48fMLtW9rRgC</w:t>
        </w:r>
      </w:hyperlink>
    </w:p>
    <w:bookmarkEnd w:id="232"/>
    <w:bookmarkStart w:id="234"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3">
        <w:r>
          <w:rPr>
            <w:rStyle w:val="Hyperlink"/>
          </w:rPr>
          <w:t xml:space="preserve">https://catalog.hathitrust.org/Record/010837951</w:t>
        </w:r>
      </w:hyperlink>
    </w:p>
    <w:bookmarkEnd w:id="234"/>
    <w:bookmarkStart w:id="23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5">
        <w:r>
          <w:rPr>
            <w:rStyle w:val="Hyperlink"/>
          </w:rPr>
          <w:t xml:space="preserve">https://doi.org/10.1016/j.foreco.2009.07.008</w:t>
        </w:r>
      </w:hyperlink>
    </w:p>
    <w:bookmarkEnd w:id="236"/>
    <w:bookmarkStart w:id="237"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237"/>
    <w:bookmarkStart w:id="239"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8">
        <w:r>
          <w:rPr>
            <w:rStyle w:val="Hyperlink"/>
          </w:rPr>
          <w:t xml:space="preserve">https://doi.org/10.2737/RMRS-RP-103</w:t>
        </w:r>
      </w:hyperlink>
    </w:p>
    <w:bookmarkEnd w:id="239"/>
    <w:bookmarkStart w:id="241"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40">
        <w:r>
          <w:rPr>
            <w:rStyle w:val="Hyperlink"/>
          </w:rPr>
          <w:t xml:space="preserve">https://ir.library.oregonstate.edu/downloads/70795d72s</w:t>
        </w:r>
      </w:hyperlink>
    </w:p>
    <w:bookmarkEnd w:id="241"/>
    <w:bookmarkStart w:id="24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42"/>
    <w:bookmarkStart w:id="24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3"/>
    <w:bookmarkStart w:id="24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4">
        <w:r>
          <w:rPr>
            <w:rStyle w:val="Hyperlink"/>
          </w:rPr>
          <w:t xml:space="preserve">https://doi.org/10.5558/tfc78397-3</w:t>
        </w:r>
      </w:hyperlink>
    </w:p>
    <w:bookmarkEnd w:id="245"/>
    <w:bookmarkStart w:id="247" w:name="ref-mumaConvertingCoastRedwood2019"/>
    <w:p>
      <w:pPr>
        <w:pStyle w:val="Bibliography"/>
      </w:pPr>
      <w:r>
        <w:t xml:space="preserve">Muma, R. T.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6">
        <w:r>
          <w:rPr>
            <w:rStyle w:val="Hyperlink"/>
          </w:rPr>
          <w:t xml:space="preserve">https://digitalcommons.humboldt.edu/etd/269</w:t>
        </w:r>
      </w:hyperlink>
    </w:p>
    <w:bookmarkEnd w:id="247"/>
    <w:bookmarkStart w:id="24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8">
        <w:r>
          <w:rPr>
            <w:rStyle w:val="Hyperlink"/>
          </w:rPr>
          <w:t xml:space="preserve">https://doi.org/10.1016/j.foreco.2022.120236</w:t>
        </w:r>
      </w:hyperlink>
    </w:p>
    <w:bookmarkEnd w:id="249"/>
    <w:bookmarkStart w:id="251"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50">
        <w:r>
          <w:rPr>
            <w:rStyle w:val="Hyperlink"/>
          </w:rPr>
          <w:t xml:space="preserve">https://www.fs.usda.gov/research/treesearch/37978</w:t>
        </w:r>
      </w:hyperlink>
    </w:p>
    <w:bookmarkEnd w:id="251"/>
    <w:bookmarkStart w:id="25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52">
        <w:r>
          <w:rPr>
            <w:rStyle w:val="Hyperlink"/>
          </w:rPr>
          <w:t xml:space="preserve">https://doi.org/10.1016/j.foreco.2022.120136</w:t>
        </w:r>
      </w:hyperlink>
    </w:p>
    <w:bookmarkEnd w:id="253"/>
    <w:bookmarkStart w:id="25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4">
        <w:r>
          <w:rPr>
            <w:rStyle w:val="Hyperlink"/>
          </w:rPr>
          <w:t xml:space="preserve">https://doi.org/10.1002/ece3.3737</w:t>
        </w:r>
      </w:hyperlink>
    </w:p>
    <w:bookmarkEnd w:id="255"/>
    <w:bookmarkStart w:id="256"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6"/>
    <w:bookmarkStart w:id="25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7">
        <w:r>
          <w:rPr>
            <w:rStyle w:val="Hyperlink"/>
          </w:rPr>
          <w:t xml:space="preserve">https://doi.org/10.1093/jofore/fvab026</w:t>
        </w:r>
      </w:hyperlink>
    </w:p>
    <w:bookmarkEnd w:id="258"/>
    <w:bookmarkStart w:id="26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9">
        <w:r>
          <w:rPr>
            <w:rStyle w:val="Hyperlink"/>
          </w:rPr>
          <w:t xml:space="preserve">https://doi.org/10.1093/jof/96.7.4a</w:t>
        </w:r>
      </w:hyperlink>
    </w:p>
    <w:bookmarkEnd w:id="260"/>
    <w:bookmarkStart w:id="262"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61">
        <w:r>
          <w:rPr>
            <w:rStyle w:val="Hyperlink"/>
          </w:rPr>
          <w:t xml:space="preserve">https://doi.org/10.1016/S0378-1127(00)00698-8</w:t>
        </w:r>
      </w:hyperlink>
    </w:p>
    <w:bookmarkEnd w:id="262"/>
    <w:bookmarkStart w:id="26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3">
        <w:r>
          <w:rPr>
            <w:rStyle w:val="Hyperlink"/>
          </w:rPr>
          <w:t xml:space="preserve">https://doi.org/10.1093/forestry/75.4.339</w:t>
        </w:r>
      </w:hyperlink>
    </w:p>
    <w:bookmarkEnd w:id="264"/>
    <w:bookmarkStart w:id="266"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5">
        <w:r>
          <w:rPr>
            <w:rStyle w:val="Hyperlink"/>
          </w:rPr>
          <w:t xml:space="preserve">https://doi.org/10.1007/s10310-009-0166-0</w:t>
        </w:r>
      </w:hyperlink>
    </w:p>
    <w:bookmarkEnd w:id="266"/>
    <w:bookmarkStart w:id="26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7">
        <w:r>
          <w:rPr>
            <w:rStyle w:val="Hyperlink"/>
          </w:rPr>
          <w:t xml:space="preserve">https://doi.org/10.3390/f8050144</w:t>
        </w:r>
      </w:hyperlink>
    </w:p>
    <w:bookmarkEnd w:id="268"/>
    <w:bookmarkStart w:id="27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9">
        <w:r>
          <w:rPr>
            <w:rStyle w:val="Hyperlink"/>
          </w:rPr>
          <w:t xml:space="preserve">https://doi.org/10.1016/j.foreco.2007.03.062</w:t>
        </w:r>
      </w:hyperlink>
    </w:p>
    <w:bookmarkEnd w:id="270"/>
    <w:bookmarkStart w:id="27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71">
        <w:r>
          <w:rPr>
            <w:rStyle w:val="Hyperlink"/>
          </w:rPr>
          <w:t xml:space="preserve">https://doi.org/10.1016/j.foreco.2021.119361</w:t>
        </w:r>
      </w:hyperlink>
    </w:p>
    <w:bookmarkEnd w:id="272"/>
    <w:bookmarkStart w:id="273"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3"/>
    <w:bookmarkStart w:id="27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4">
        <w:r>
          <w:rPr>
            <w:rStyle w:val="Hyperlink"/>
          </w:rPr>
          <w:t xml:space="preserve">https://doi.org/10.1029/2020GL089858</w:t>
        </w:r>
      </w:hyperlink>
    </w:p>
    <w:bookmarkEnd w:id="275"/>
    <w:bookmarkStart w:id="277"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6">
        <w:r>
          <w:rPr>
            <w:rStyle w:val="Hyperlink"/>
          </w:rPr>
          <w:t xml:space="preserve">https://doi.org/10.1139/x93-073</w:t>
        </w:r>
      </w:hyperlink>
    </w:p>
    <w:bookmarkEnd w:id="277"/>
    <w:bookmarkStart w:id="279"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8">
        <w:r>
          <w:rPr>
            <w:rStyle w:val="Hyperlink"/>
          </w:rPr>
          <w:t xml:space="preserve">https://doi.org/10.1093/forestscience/16.3.339</w:t>
        </w:r>
      </w:hyperlink>
    </w:p>
    <w:bookmarkEnd w:id="279"/>
    <w:bookmarkStart w:id="281"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80">
        <w:r>
          <w:rPr>
            <w:rStyle w:val="Hyperlink"/>
          </w:rPr>
          <w:t xml:space="preserve">https://www.fs.usda.gov/treesearch/pubs/60134</w:t>
        </w:r>
      </w:hyperlink>
    </w:p>
    <w:bookmarkEnd w:id="281"/>
    <w:bookmarkStart w:id="283"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82">
        <w:r>
          <w:rPr>
            <w:rStyle w:val="Hyperlink"/>
          </w:rPr>
          <w:t xml:space="preserve">https://doi.org/10.2737/PSW-GTR-256</w:t>
        </w:r>
      </w:hyperlink>
    </w:p>
    <w:bookmarkEnd w:id="283"/>
    <w:bookmarkStart w:id="285"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4">
        <w:r>
          <w:rPr>
            <w:rStyle w:val="Hyperlink"/>
          </w:rPr>
          <w:t xml:space="preserve">https://doi.org/10.3390/su152316409</w:t>
        </w:r>
      </w:hyperlink>
    </w:p>
    <w:bookmarkEnd w:id="285"/>
    <w:bookmarkStart w:id="287"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6">
        <w:r>
          <w:rPr>
            <w:rStyle w:val="Hyperlink"/>
          </w:rPr>
          <w:t xml:space="preserve">https://doi.org/10.1016/j.foreco.2013.04.015</w:t>
        </w:r>
      </w:hyperlink>
    </w:p>
    <w:bookmarkEnd w:id="287"/>
    <w:bookmarkStart w:id="288"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8"/>
    <w:bookmarkStart w:id="290"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9">
        <w:r>
          <w:rPr>
            <w:rStyle w:val="Hyperlink"/>
          </w:rPr>
          <w:t xml:space="preserve">https://doi.org/10.1093/forestry/75.4.329</w:t>
        </w:r>
      </w:hyperlink>
    </w:p>
    <w:bookmarkEnd w:id="290"/>
    <w:bookmarkStart w:id="29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91"/>
    <w:bookmarkStart w:id="29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92">
        <w:r>
          <w:rPr>
            <w:rStyle w:val="Hyperlink"/>
          </w:rPr>
          <w:t xml:space="preserve">https://doi.org/10.1016/j.foreco.2012.08.030</w:t>
        </w:r>
      </w:hyperlink>
    </w:p>
    <w:bookmarkEnd w:id="293"/>
    <w:bookmarkStart w:id="29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4">
        <w:r>
          <w:rPr>
            <w:rStyle w:val="Hyperlink"/>
          </w:rPr>
          <w:t xml:space="preserve">https://esajournals.onlinelibrary.wiley.com/doi/full/10.1890/07-1755.1</w:t>
        </w:r>
      </w:hyperlink>
    </w:p>
    <w:bookmarkEnd w:id="295"/>
    <w:bookmarkStart w:id="296"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6"/>
    <w:bookmarkStart w:id="29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7">
        <w:r>
          <w:rPr>
            <w:rStyle w:val="Hyperlink"/>
          </w:rPr>
          <w:t xml:space="preserve">https://doi.org/10.1016/j.foreco.2016.05.018</w:t>
        </w:r>
      </w:hyperlink>
    </w:p>
    <w:bookmarkEnd w:id="298"/>
    <w:bookmarkStart w:id="299"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9"/>
    <w:bookmarkStart w:id="301"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300">
        <w:r>
          <w:rPr>
            <w:rStyle w:val="Hyperlink"/>
          </w:rPr>
          <w:t xml:space="preserve">https://doi.org/10.1007/s10530-017-1443-z</w:t>
        </w:r>
      </w:hyperlink>
    </w:p>
    <w:bookmarkEnd w:id="301"/>
    <w:bookmarkStart w:id="303"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302">
        <w:r>
          <w:rPr>
            <w:rStyle w:val="Hyperlink"/>
          </w:rPr>
          <w:t xml:space="preserve">https://doi.org/10.1016/j.foreco.2022.120602</w:t>
        </w:r>
      </w:hyperlink>
    </w:p>
    <w:bookmarkEnd w:id="303"/>
    <w:bookmarkStart w:id="305"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4">
        <w:r>
          <w:rPr>
            <w:rStyle w:val="Hyperlink"/>
          </w:rPr>
          <w:t xml:space="preserve">https://doi.org/10.1016/j.foreco.2008.01.025</w:t>
        </w:r>
      </w:hyperlink>
    </w:p>
    <w:bookmarkEnd w:id="305"/>
    <w:bookmarkStart w:id="307"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6">
        <w:r>
          <w:rPr>
            <w:rStyle w:val="Hyperlink"/>
          </w:rPr>
          <w:t xml:space="preserve">https://www.fs.usda.gov/research/treesearch/41828</w:t>
        </w:r>
      </w:hyperlink>
    </w:p>
    <w:bookmarkEnd w:id="307"/>
    <w:bookmarkStart w:id="309"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8">
        <w:r>
          <w:rPr>
            <w:rStyle w:val="Hyperlink"/>
          </w:rPr>
          <w:t xml:space="preserve">http://hilgardia.ucanr.edu/Abstract/?a=hilg.v54n08p017</w:t>
        </w:r>
      </w:hyperlink>
    </w:p>
    <w:bookmarkEnd w:id="309"/>
    <w:bookmarkStart w:id="311"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10">
        <w:r>
          <w:rPr>
            <w:rStyle w:val="Hyperlink"/>
          </w:rPr>
          <w:t xml:space="preserve">https://doi.org/10.1098/rstb.2015.0178</w:t>
        </w:r>
      </w:hyperlink>
    </w:p>
    <w:bookmarkEnd w:id="311"/>
    <w:bookmarkStart w:id="312"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12"/>
    <w:bookmarkStart w:id="314"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3">
        <w:r>
          <w:rPr>
            <w:rStyle w:val="Hyperlink"/>
          </w:rPr>
          <w:t xml:space="preserve">https://doi.org/10.3390/f16061000</w:t>
        </w:r>
      </w:hyperlink>
    </w:p>
    <w:bookmarkEnd w:id="314"/>
    <w:bookmarkStart w:id="316"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5">
        <w:r>
          <w:rPr>
            <w:rStyle w:val="Hyperlink"/>
          </w:rPr>
          <w:t xml:space="preserve">https://doi.org/10.1093/wjaf/12.1.21</w:t>
        </w:r>
      </w:hyperlink>
    </w:p>
    <w:bookmarkEnd w:id="316"/>
    <w:bookmarkStart w:id="318"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7">
        <w:r>
          <w:rPr>
            <w:rStyle w:val="Hyperlink"/>
          </w:rPr>
          <w:t xml:space="preserve">https://doi.org/10.1007/978-3-319-51727-8_13-1</w:t>
        </w:r>
      </w:hyperlink>
    </w:p>
    <w:bookmarkEnd w:id="318"/>
    <w:bookmarkStart w:id="319"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9"/>
    <w:bookmarkEnd w:id="320"/>
    <w:bookmarkEnd w:id="3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2025-10-31T20:22:36Z</dcterms:created>
  <dcterms:modified xsi:type="dcterms:W3CDTF">2025-10-31T20:22:36Z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October 31,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